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2"/>
        <w:jc w:val="center"/>
      </w:pPr>
      <w:r>
        <w:t>数博会志愿者岗位记录卡模板</w:t>
      </w:r>
    </w:p>
    <w:p w14:paraId="A43ACA68">
      <w:pPr>
        <w:pStyle w:val="3"/>
      </w:pPr>
      <w:r>
        <w:t>一、基本信息</w:t>
      </w:r>
    </w:p>
    <w:p w14:paraId="0E975C98">
      <w:pPr/>
      <w:r>
        <w:t>姓名：</w:t>
      </w:r>
      <w:r>
        <w:rPr>
          <w:rFonts w:hint="eastAsia"/>
          <w:lang w:eastAsia="zh-CN"/>
        </w:rPr>
        <w:t>陈畅</w:t>
      </w:r>
      <w:r>
        <w:t xml:space="preserve">   性别：</w:t>
      </w:r>
      <w:r>
        <w:rPr>
          <w:rFonts w:hint="eastAsia"/>
          <w:lang w:eastAsia="zh-CN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/>
          <w:lang w:eastAsia="zh-CN"/>
        </w:rPr>
        <w:t>英语专业/英语</w:t>
      </w:r>
      <w:r>
        <w:br w:type="textWrapping"/>
      </w:r>
      <w:r>
        <w:t>年级：</w:t>
      </w:r>
      <w:r>
        <w:rPr>
          <w:rFonts w:hint="eastAsia"/>
          <w:lang w:eastAsia="zh-CN"/>
        </w:rPr>
        <w:t>大一年级</w:t>
      </w:r>
      <w:r>
        <w:br w:type="textWrapping"/>
      </w:r>
      <w:r>
        <w:t>服务岗位：</w:t>
      </w:r>
      <w:r>
        <w:rPr>
          <w:rFonts w:hint="eastAsia"/>
          <w:lang w:eastAsia="zh-CN"/>
        </w:rPr>
        <w:t>专业观众</w:t>
      </w:r>
      <w:r>
        <w:br w:type="textWrapping"/>
      </w:r>
      <w:r>
        <w:t>服务时间：</w:t>
      </w:r>
      <w:r>
        <w:rPr>
          <w:rFonts w:hint="eastAsia"/>
          <w:lang w:eastAsia="zh-CN"/>
        </w:rPr>
        <w:t>2026</w:t>
      </w:r>
      <w:r>
        <w:t>年</w:t>
      </w:r>
      <w:r>
        <w:rPr>
          <w:rFonts w:hint="eastAsia"/>
          <w:lang w:eastAsia="zh-CN"/>
        </w:rPr>
        <w:t>7</w:t>
      </w:r>
      <w:r>
        <w:t>月</w:t>
      </w:r>
      <w:r>
        <w:rPr>
          <w:rFonts w:hint="eastAsia"/>
          <w:lang w:eastAsia="zh-CN"/>
        </w:rPr>
        <w:t>2</w:t>
      </w:r>
      <w:r>
        <w:t xml:space="preserve">日 至 </w:t>
      </w:r>
      <w:r>
        <w:rPr>
          <w:rFonts w:hint="eastAsia"/>
          <w:lang w:eastAsia="zh-CN"/>
        </w:rPr>
        <w:t>2026</w:t>
      </w:r>
      <w:r>
        <w:t>年</w:t>
      </w:r>
      <w:r>
        <w:rPr>
          <w:rFonts w:hint="eastAsia"/>
          <w:lang w:eastAsia="zh-CN"/>
        </w:rPr>
        <w:t>7</w:t>
      </w:r>
      <w:r>
        <w:t>月</w:t>
      </w:r>
      <w:r>
        <w:rPr>
          <w:rFonts w:hint="eastAsia"/>
          <w:lang w:eastAsia="zh-CN"/>
        </w:rPr>
        <w:t>4</w:t>
      </w:r>
      <w:r>
        <w:t>日</w:t>
      </w:r>
      <w:r>
        <w:br w:type="textWrapping"/>
      </w:r>
      <w:r>
        <w:t>所属小组：</w:t>
      </w:r>
      <w:r>
        <w:rPr>
          <w:rFonts w:hint="eastAsia"/>
          <w:lang w:eastAsia="zh-CN"/>
        </w:rPr>
        <w:t>现场总协调</w:t>
      </w:r>
    </w:p>
    <w:p w14:paraId="E795E68B">
      <w:pPr>
        <w:pStyle w:val="3"/>
      </w:pPr>
      <w:r>
        <w:t>二、岗位职责（公共部分）</w:t>
      </w:r>
    </w:p>
    <w:p w14:paraId="F011089E">
      <w:pPr/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3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pPr>
        <w:rPr>
          <w:rFonts w:hint="eastAsia"/>
        </w:rPr>
      </w:pPr>
      <w:r>
        <w:t>岗位名称：</w:t>
      </w:r>
      <w:r>
        <w:rPr>
          <w:rFonts w:hint="eastAsia"/>
          <w:lang w:eastAsia="zh-CN"/>
        </w:rPr>
        <w:t>专业观众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/>
        </w:rPr>
        <w:t>路线指引服务</w:t>
      </w:r>
    </w:p>
    <w:p w14:paraId="FE56FEED">
      <w:pPr>
        <w:rPr>
          <w:rFonts w:hint="eastAsia"/>
        </w:rPr>
      </w:pPr>
      <w:r>
        <w:rPr>
          <w:rFonts w:hint="eastAsia"/>
        </w:rPr>
        <w:t>清晰告知观众展区、重点活动会场、服务台、休息区具体方位，主动为专业观众指路。</w:t>
      </w:r>
      <w:r>
        <w:br w:type="textWrapping"/>
      </w:r>
      <w:r>
        <w:t xml:space="preserve">2. </w:t>
      </w:r>
      <w:r>
        <w:rPr>
          <w:rFonts w:hint="eastAsia"/>
        </w:rPr>
        <w:t>咨询答疑工作</w:t>
      </w:r>
    </w:p>
    <w:p w14:paraId="FE56FEED">
      <w:pPr>
        <w:rPr>
          <w:rFonts w:hint="eastAsia"/>
        </w:rPr>
      </w:pPr>
      <w:r>
        <w:rPr>
          <w:rFonts w:hint="eastAsia"/>
        </w:rPr>
        <w:t>针对观众高频常见问题，使用统一标准话术进行解答。</w:t>
      </w:r>
      <w:r>
        <w:br w:type="textWrapping"/>
      </w:r>
      <w:r>
        <w:t xml:space="preserve">3. </w:t>
      </w:r>
      <w:r>
        <w:rPr>
          <w:rFonts w:hint="eastAsia"/>
        </w:rPr>
        <w:t>问题分流转交</w:t>
      </w:r>
    </w:p>
    <w:p w14:paraId="FE56FEED">
      <w:pPr>
        <w:rPr>
          <w:rFonts w:hint="eastAsia"/>
        </w:rPr>
      </w:pPr>
      <w:r>
        <w:rPr>
          <w:rFonts w:hint="eastAsia"/>
        </w:rPr>
        <w:t>遇到票务、观众投诉、媒体采访、商务合作相关诉求，第一时间上报、转接对应负责人处理。</w:t>
      </w:r>
      <w:r>
        <w:br w:type="textWrapping"/>
      </w:r>
      <w:r>
        <w:t xml:space="preserve">4. </w:t>
      </w:r>
      <w:r>
        <w:rPr>
          <w:rFonts w:hint="eastAsia"/>
        </w:rPr>
        <w:t>现场秩序维护</w:t>
      </w:r>
    </w:p>
    <w:p w14:paraId="FE56FEED">
      <w:pPr/>
      <w:r>
        <w:rPr>
          <w:rFonts w:hint="eastAsia"/>
        </w:rPr>
        <w:t>在论坛、发布会等重点活动区域，疏导人流，辅助维持现场秩序</w:t>
      </w:r>
    </w:p>
    <w:p w14:paraId="9D43556F">
      <w:pPr>
        <w:pStyle w:val="3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pPr/>
      <w:r>
        <w:t>日期：</w:t>
      </w:r>
      <w:r>
        <w:rPr>
          <w:rFonts w:hint="eastAsia"/>
          <w:lang w:eastAsia="zh-CN"/>
        </w:rPr>
        <w:t>2026年7月3日</w:t>
      </w:r>
      <w:r>
        <w:br w:type="textWrapping"/>
      </w:r>
      <w:r>
        <w:t>工作时间：</w:t>
      </w:r>
      <w:r>
        <w:rPr>
          <w:rFonts w:hint="eastAsia"/>
          <w:lang w:eastAsia="zh-CN"/>
        </w:rPr>
        <w:t>上午9时至上午10时</w:t>
      </w:r>
      <w:r>
        <w:br w:type="textWrapping"/>
      </w:r>
      <w:r>
        <w:t>工作内容：</w:t>
      </w:r>
      <w:r>
        <w:rPr>
          <w:rFonts w:hint="eastAsia"/>
          <w:lang w:eastAsia="zh-CN"/>
        </w:rPr>
        <w:t>引导专业观众并为其讲解</w:t>
      </w:r>
      <w:r>
        <w:br w:type="textWrapping"/>
      </w:r>
      <w:r>
        <w:t>完成情况：</w:t>
      </w:r>
      <w:r>
        <w:rPr>
          <w:rFonts w:hint="eastAsia"/>
          <w:lang w:eastAsia="zh-CN"/>
        </w:rPr>
        <w:t>完成情况良好，能够有效提供帮助与解答</w:t>
      </w:r>
      <w:r>
        <w:br w:type="textWrapping"/>
      </w:r>
      <w:r>
        <w:t>特殊情况记录：</w:t>
      </w:r>
    </w:p>
    <w:p w14:paraId="09FB1057">
      <w:pPr/>
    </w:p>
    <w:p w14:paraId="D50185F9">
      <w:pPr>
        <w:pStyle w:val="3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综合评价等级：□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/>
          <w:lang w:val="en-US" w:eastAsia="zh-CN"/>
        </w:rPr>
        <w:t>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/>
          <w:lang w:val="en-US" w:eastAsia="zh-CN"/>
        </w:rPr>
        <w:t>组长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</w:t>
      </w:r>
      <w:r>
        <w:rPr>
          <w:rFonts w:hint="eastAsia"/>
          <w:lang w:val="en-US" w:eastAsia="zh-CN"/>
        </w:rPr>
        <w:t>2026</w:t>
      </w:r>
      <w:r>
        <w:rPr>
          <w:lang w:val="en-US"/>
        </w:rPr>
        <w:t>年</w:t>
      </w:r>
      <w:r>
        <w:rPr>
          <w:rFonts w:hint="eastAsia"/>
          <w:lang w:val="en-US" w:eastAsia="zh-CN"/>
        </w:rPr>
        <w:t>7</w:t>
      </w:r>
      <w:r>
        <w:rPr>
          <w:lang w:val="en-US"/>
        </w:rPr>
        <w:t>月</w:t>
      </w:r>
      <w:r>
        <w:rPr>
          <w:rFonts w:hint="eastAsia"/>
          <w:lang w:val="en-US" w:eastAsia="zh-CN"/>
        </w:rPr>
        <w:t>4</w:t>
      </w:r>
      <w:bookmarkStart w:id="0" w:name="_GoBack"/>
      <w:bookmarkEnd w:id="0"/>
      <w:r>
        <w:rPr>
          <w:lang w:val="en-US"/>
        </w:rPr>
        <w:t>日</w:t>
      </w:r>
    </w:p>
    <w:p w14:paraId="79CC56FE">
      <w:pPr>
        <w:pStyle w:val="3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altName w:val="ＭＳ 明朝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ＭＳ ゴシック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Courier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ＭＳ 明朝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ＭＳ ゴシック" w:cs="宋体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ＭＳ ゴシック" w:cs="宋体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ＭＳ ゴシック" w:cs="宋体"/>
      <w:b/>
      <w:bCs/>
      <w:color w:val="4F81BD"/>
    </w:rPr>
  </w:style>
  <w:style w:type="paragraph" w:styleId="5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ＭＳ ゴシック" w:cs="宋体"/>
      <w:b/>
      <w:bCs/>
      <w:i/>
      <w:iCs/>
      <w:color w:val="4F81BD"/>
    </w:rPr>
  </w:style>
  <w:style w:type="paragraph" w:styleId="6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ＭＳ ゴシック" w:cs="宋体"/>
      <w:color w:val="243F60"/>
    </w:rPr>
  </w:style>
  <w:style w:type="paragraph" w:styleId="7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ＭＳ ゴシック" w:cs="宋体"/>
      <w:i/>
      <w:iCs/>
      <w:color w:val="243F60"/>
    </w:rPr>
  </w:style>
  <w:style w:type="paragraph" w:styleId="8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ＭＳ ゴシック" w:cs="宋体"/>
      <w:i/>
      <w:iCs/>
      <w:color w:val="404040"/>
    </w:rPr>
  </w:style>
  <w:style w:type="paragraph" w:styleId="9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ＭＳ ゴシック" w:cs="宋体"/>
      <w:color w:val="4F81BD"/>
      <w:sz w:val="20"/>
      <w:szCs w:val="20"/>
    </w:rPr>
  </w:style>
  <w:style w:type="paragraph" w:styleId="10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ＭＳ ゴシック" w:cs="宋体"/>
      <w:i/>
      <w:iCs/>
      <w:color w:val="404040"/>
      <w:sz w:val="20"/>
      <w:szCs w:val="20"/>
    </w:rPr>
  </w:style>
  <w:style w:type="character" w:default="1" w:styleId="32">
    <w:name w:val="Default Paragraph Font"/>
    <w:uiPriority w:val="1"/>
  </w:style>
  <w:style w:type="table" w:default="1" w:styleId="35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iPriority w:val="99"/>
    <w:pPr>
      <w:ind w:left="1080" w:hanging="360"/>
      <w:contextualSpacing/>
    </w:pPr>
  </w:style>
  <w:style w:type="paragraph" w:styleId="12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>
        <w:tblLayout w:type="fixed"/>
      </w:tbl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>
        <w:tblLayout w:type="fixed"/>
      </w:tbl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>
        <w:tblLayout w:type="fixed"/>
      </w:tbl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>
        <w:tblLayout w:type="fixed"/>
      </w:tbl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>
        <w:tblLayout w:type="fixed"/>
      </w:tbl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>
        <w:tblLayout w:type="fixed"/>
      </w:tbl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>
        <w:tblLayout w:type="fixed"/>
      </w:tbl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0C0C0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2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1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4D0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>
        <w:tblLayout w:type="fixed"/>
      </w:tblPr>
      <w:tcPr>
        <w:shd w:val="clear" w:color="auto" w:fill="D8D8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>
        <w:tblLayout w:type="fixed"/>
      </w:tblPr>
      <w:tcPr>
        <w:shd w:val="clear" w:color="auto" w:fill="C0C0C0"/>
      </w:tcPr>
    </w:tblStylePr>
    <w:tblStylePr w:type="band1Horz">
      <w:tblPr>
        <w:tblLayout w:type="fixed"/>
      </w:tblPr>
      <w:tcPr>
        <w:shd w:val="clear" w:color="auto" w:fill="C0C0C0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>
        <w:tblLayout w:type="fixed"/>
      </w:tblPr>
      <w:tcPr>
        <w:shd w:val="clear" w:color="auto" w:fill="D3DFEE"/>
      </w:tcPr>
    </w:tblStylePr>
    <w:tblStylePr w:type="band1Horz">
      <w:tblPr>
        <w:tblLayout w:type="fixed"/>
      </w:tblPr>
      <w:tcPr>
        <w:shd w:val="clear" w:color="auto" w:fill="D3DFEE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>
        <w:tblLayout w:type="fixed"/>
      </w:tblPr>
      <w:tcPr>
        <w:shd w:val="clear" w:color="auto" w:fill="EFD3D2"/>
      </w:tcPr>
    </w:tblStylePr>
    <w:tblStylePr w:type="band1Horz">
      <w:tblPr>
        <w:tblLayout w:type="fixed"/>
      </w:tblPr>
      <w:tcPr>
        <w:shd w:val="clear" w:color="auto" w:fill="EFD3D2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>
        <w:tblLayout w:type="fixed"/>
      </w:tblPr>
      <w:tcPr>
        <w:shd w:val="clear" w:color="auto" w:fill="E6EED5"/>
      </w:tcPr>
    </w:tblStylePr>
    <w:tblStylePr w:type="band1Horz">
      <w:tblPr>
        <w:tblLayout w:type="fixed"/>
      </w:tblPr>
      <w:tcPr>
        <w:shd w:val="clear" w:color="auto" w:fill="E6EED5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>
        <w:tblLayout w:type="fixed"/>
      </w:tblPr>
      <w:tcPr>
        <w:shd w:val="clear" w:color="auto" w:fill="DFD8E8"/>
      </w:tcPr>
    </w:tblStylePr>
    <w:tblStylePr w:type="band1Horz">
      <w:tblPr>
        <w:tblLayout w:type="fixed"/>
      </w:tblPr>
      <w:tcPr>
        <w:shd w:val="clear" w:color="auto" w:fill="DFD8E8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>
        <w:tblLayout w:type="fixed"/>
      </w:tblPr>
      <w:tcPr>
        <w:shd w:val="clear" w:color="auto" w:fill="D2EAF1"/>
      </w:tcPr>
    </w:tblStylePr>
    <w:tblStylePr w:type="band1Horz">
      <w:tblPr>
        <w:tblLayout w:type="fixed"/>
      </w:tblPr>
      <w:tcPr>
        <w:shd w:val="clear" w:color="auto" w:fill="D2EAF1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>
        <w:tblLayout w:type="fixed"/>
      </w:tblPr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>
        <w:tblLayout w:type="fixed"/>
      </w:tblPr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>
        <w:tblLayout w:type="fixed"/>
      </w:tblPr>
      <w:tcPr>
        <w:shd w:val="clear" w:color="auto" w:fill="FDE4D0"/>
      </w:tcPr>
    </w:tblStylePr>
    <w:tblStylePr w:type="band1Horz">
      <w:tblPr>
        <w:tblLayout w:type="fixed"/>
      </w:tblPr>
      <w:tcPr>
        <w:shd w:val="clear" w:color="auto" w:fill="FDE4D0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>
        <w:tblLayout w:type="fixed"/>
      </w:tblPr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>
        <w:tblLayout w:type="fixed"/>
      </w:tblPr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>
        <w:tblLayout w:type="fixed"/>
      </w:tblPr>
      <w:tcPr>
        <w:shd w:val="clear" w:color="auto" w:fill="FFFFFF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808080"/>
      </w:tcPr>
    </w:tblStylePr>
    <w:tblStylePr w:type="band1Horz">
      <w:tblPr>
        <w:tblLayout w:type="fixed"/>
      </w:tblPr>
      <w:tcPr>
        <w:shd w:val="clear" w:color="auto" w:fill="808080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BFDE"/>
      </w:tcPr>
    </w:tblStylePr>
    <w:tblStylePr w:type="band1Horz">
      <w:tblPr>
        <w:tblLayout w:type="fixed"/>
      </w:tblPr>
      <w:tcPr>
        <w:shd w:val="clear" w:color="auto" w:fill="A7BFDE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/>
      </w:tcPr>
    </w:tblStylePr>
    <w:tblStylePr w:type="band1Horz">
      <w:tblPr>
        <w:tblLayout w:type="fixed"/>
      </w:tblPr>
      <w:tcPr>
        <w:shd w:val="clear" w:color="auto" w:fill="DFA7A6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/>
      </w:tcPr>
    </w:tblStylePr>
    <w:tblStylePr w:type="band1Horz">
      <w:tblPr>
        <w:tblLayout w:type="fixed"/>
      </w:tblPr>
      <w:tcPr>
        <w:shd w:val="clear" w:color="auto" w:fill="CDDDAC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/>
      </w:tcPr>
    </w:tblStylePr>
    <w:tblStylePr w:type="band1Horz">
      <w:tblPr>
        <w:tblLayout w:type="fixed"/>
      </w:tblPr>
      <w:tcPr>
        <w:shd w:val="clear" w:color="auto" w:fill="BFB1D0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/>
      </w:tcPr>
    </w:tblStylePr>
    <w:tblStylePr w:type="band1Horz">
      <w:tblPr>
        <w:tblLayout w:type="fixed"/>
      </w:tblPr>
      <w:tcPr>
        <w:shd w:val="clear" w:color="auto" w:fill="A5D5E2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/>
      </w:tcPr>
    </w:tblStylePr>
    <w:tblStylePr w:type="band1Horz">
      <w:tblPr>
        <w:tblLayout w:type="fixed"/>
      </w:tblPr>
      <w:tcPr>
        <w:shd w:val="clear" w:color="auto" w:fill="FBCAA2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E6E6E6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>
        <w:tblLayout w:type="fixed"/>
      </w:tblPr>
      <w:tcPr>
        <w:shd w:val="clear" w:color="auto" w:fill="808080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EDF2F8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>
        <w:tblLayout w:type="fixed"/>
      </w:tblPr>
      <w:tcPr>
        <w:shd w:val="clear" w:color="auto" w:fill="A7BFDE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F8EDED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>
        <w:tblLayout w:type="fixed"/>
      </w:tblPr>
      <w:tcPr>
        <w:shd w:val="clear" w:color="auto" w:fill="DFA7A6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F5F8EE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>
        <w:tblLayout w:type="fixed"/>
      </w:tblPr>
      <w:tcPr>
        <w:shd w:val="clear" w:color="auto" w:fill="CDDDAC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F2EFF6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>
        <w:tblLayout w:type="fixed"/>
      </w:tblPr>
      <w:tcPr>
        <w:shd w:val="clear" w:color="auto" w:fill="BFB1D0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EDF6F9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>
        <w:tblLayout w:type="fixed"/>
      </w:tblPr>
      <w:tcPr>
        <w:shd w:val="clear" w:color="auto" w:fill="A5D5E2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>
        <w:tblLayout w:type="fixed"/>
      </w:tblPr>
      <w:tcPr>
        <w:shd w:val="clear" w:color="auto" w:fill="FEF4EC"/>
      </w:tcPr>
    </w:tblStylePr>
    <w:tblStylePr w:type="lastRow">
      <w:rPr>
        <w:b/>
        <w:bCs/>
        <w:color w:val="00000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>
        <w:tblLayout w:type="fixed"/>
      </w:tblPr>
      <w:tcPr>
        <w:shd w:val="clear" w:color="auto" w:fill="FBCAA2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>
        <w:tblLayout w:type="fixed"/>
      </w:tblPr>
      <w:tcPr>
        <w:shd w:val="clear" w:color="auto" w:fill="FFFFFF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>
        <w:tblLayout w:type="fixed"/>
      </w:tbl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>
        <w:tblLayout w:type="fixed"/>
      </w:tbl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>
        <w:tblLayout w:type="fixed"/>
      </w:tblPr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>
        <w:tblLayout w:type="fixed"/>
      </w:tblPr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shd w:val="clear" w:color="auto" w:fill="999999"/>
      </w:tcPr>
    </w:tblStylePr>
    <w:tblStylePr w:type="band1Horz">
      <w:tblPr>
        <w:tblLayout w:type="fixed"/>
      </w:tblPr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>
        <w:tblLayout w:type="fixed"/>
      </w:tblPr>
      <w:tcPr>
        <w:shd w:val="clear" w:color="auto" w:fill="B8CCE4"/>
      </w:tcPr>
    </w:tblStylePr>
    <w:tblStylePr w:type="band1Horz">
      <w:tblPr>
        <w:tblLayout w:type="fixed"/>
      </w:tblPr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>
        <w:tblLayout w:type="fixed"/>
      </w:tblPr>
      <w:tcPr>
        <w:shd w:val="clear" w:color="auto" w:fill="E5B8B7"/>
      </w:tcPr>
    </w:tblStylePr>
    <w:tblStylePr w:type="band1Horz">
      <w:tblPr>
        <w:tblLayout w:type="fixed"/>
      </w:tblPr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>
        <w:tblLayout w:type="fixed"/>
      </w:tblPr>
      <w:tcPr>
        <w:shd w:val="clear" w:color="auto" w:fill="D6E3BC"/>
      </w:tcPr>
    </w:tblStylePr>
    <w:tblStylePr w:type="band1Horz">
      <w:tblPr>
        <w:tblLayout w:type="fixed"/>
      </w:tblPr>
      <w:tcPr>
        <w:shd w:val="clear" w:color="auto" w:fill="CDDDAC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>
        <w:tblLayout w:type="fixed"/>
      </w:tblPr>
      <w:tcPr>
        <w:shd w:val="clear" w:color="auto" w:fill="CCC0D9"/>
      </w:tcPr>
    </w:tblStylePr>
    <w:tblStylePr w:type="band1Horz">
      <w:tblPr>
        <w:tblLayout w:type="fixed"/>
      </w:tblPr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>
        <w:tblLayout w:type="fixed"/>
      </w:tblPr>
      <w:tcPr>
        <w:shd w:val="clear" w:color="auto" w:fill="B6DDE8"/>
      </w:tcPr>
    </w:tblStylePr>
    <w:tblStylePr w:type="band1Horz">
      <w:tblPr>
        <w:tblLayout w:type="fixed"/>
      </w:tblPr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>
        <w:tblLayout w:type="fixed"/>
      </w:tblPr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>
        <w:tblLayout w:type="fixed"/>
      </w:tblPr>
      <w:tcPr>
        <w:shd w:val="clear" w:color="auto" w:fill="FBD4B4"/>
      </w:tcPr>
    </w:tblStylePr>
    <w:tblStylePr w:type="band1Horz">
      <w:tblPr>
        <w:tblLayout w:type="fixed"/>
      </w:tblPr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>
        <w:tblLayout w:type="fixed"/>
      </w:tblPr>
      <w:tcPr>
        <w:shd w:val="clear" w:color="auto" w:fill="CCCCCC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>
        <w:tblLayout w:type="fixed"/>
      </w:tblPr>
      <w:tcPr>
        <w:shd w:val="clear" w:color="auto" w:fill="DBE5F1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>
        <w:tblLayout w:type="fixed"/>
      </w:tblPr>
      <w:tcPr>
        <w:shd w:val="clear" w:color="auto" w:fill="F2DBDB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shd w:val="clear" w:color="auto" w:fill="EAF1DD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>
        <w:tblLayout w:type="fixed"/>
      </w:tblPr>
      <w:tcPr>
        <w:shd w:val="clear" w:color="auto" w:fill="E5DFEC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>
        <w:tblLayout w:type="fixed"/>
      </w:tblPr>
      <w:tcPr>
        <w:shd w:val="clear" w:color="auto" w:fill="DAEEF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>
        <w:tblLayout w:type="fixed"/>
      </w:tblPr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>
        <w:tblLayout w:type="fixed"/>
      </w:tbl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>
        <w:tblLayout w:type="fixed"/>
      </w:tblPr>
      <w:tcPr>
        <w:shd w:val="clear" w:color="auto" w:fill="FDE9D9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>
        <w:tblLayout w:type="fixed"/>
      </w:tblPr>
      <w:tcPr>
        <w:shd w:val="clear" w:color="auto" w:fill="999999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999999"/>
      </w:tcPr>
    </w:tblStylePr>
    <w:tblStylePr w:type="firstCol">
      <w:rPr>
        <w:color w:val="FFFFFF"/>
      </w:rPr>
      <w:tblPr>
        <w:tblLayout w:type="fixed"/>
      </w:tblPr>
      <w:tcPr>
        <w:shd w:val="clear" w:color="auto" w:fill="000000"/>
      </w:tcPr>
    </w:tblStylePr>
    <w:tblStylePr w:type="lastCol">
      <w:rPr>
        <w:color w:val="FFFFFF"/>
      </w:rPr>
      <w:tblPr>
        <w:tblLayout w:type="fixed"/>
      </w:tblPr>
      <w:tcPr>
        <w:shd w:val="clear" w:color="auto" w:fill="000000"/>
      </w:tcPr>
    </w:tblStylePr>
    <w:tblStylePr w:type="band1Vert">
      <w:tblPr>
        <w:tblLayout w:type="fixed"/>
      </w:tblPr>
      <w:tcPr>
        <w:shd w:val="clear" w:color="auto" w:fill="808080"/>
      </w:tcPr>
    </w:tblStylePr>
    <w:tblStylePr w:type="band1Horz">
      <w:tblPr>
        <w:tblLayout w:type="fixed"/>
      </w:tblPr>
      <w:tcPr>
        <w:shd w:val="clear" w:color="auto" w:fill="808080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>
        <w:tblLayout w:type="fixed"/>
      </w:tblPr>
      <w:tcPr>
        <w:shd w:val="clear" w:color="auto" w:fill="B8CCE4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B8CCE4"/>
      </w:tcPr>
    </w:tblStylePr>
    <w:tblStylePr w:type="firstCol">
      <w:rPr>
        <w:color w:val="FFFFFF"/>
      </w:rPr>
      <w:tblPr>
        <w:tblLayout w:type="fixed"/>
      </w:tblPr>
      <w:tcPr>
        <w:shd w:val="clear" w:color="auto" w:fill="365F91"/>
      </w:tcPr>
    </w:tblStylePr>
    <w:tblStylePr w:type="lastCol">
      <w:rPr>
        <w:color w:val="FFFFFF"/>
      </w:rPr>
      <w:tblPr>
        <w:tblLayout w:type="fixed"/>
      </w:tblPr>
      <w:tcPr>
        <w:shd w:val="clear" w:color="auto" w:fill="365F91"/>
      </w:tcPr>
    </w:tblStylePr>
    <w:tblStylePr w:type="band1Vert">
      <w:tblPr>
        <w:tblLayout w:type="fixed"/>
      </w:tblPr>
      <w:tcPr>
        <w:shd w:val="clear" w:color="auto" w:fill="A7BFDE"/>
      </w:tcPr>
    </w:tblStylePr>
    <w:tblStylePr w:type="band1Horz">
      <w:tblPr>
        <w:tblLayout w:type="fixed"/>
      </w:tblPr>
      <w:tcPr>
        <w:shd w:val="clear" w:color="auto" w:fill="A7BFDE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>
        <w:tblLayout w:type="fixed"/>
      </w:tblPr>
      <w:tcPr>
        <w:shd w:val="clear" w:color="auto" w:fill="E5B8B7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E5B8B7"/>
      </w:tcPr>
    </w:tblStylePr>
    <w:tblStylePr w:type="firstCol">
      <w:rPr>
        <w:color w:val="FFFFFF"/>
      </w:rPr>
      <w:tblPr>
        <w:tblLayout w:type="fixed"/>
      </w:tblPr>
      <w:tcPr>
        <w:shd w:val="clear" w:color="auto" w:fill="943634"/>
      </w:tcPr>
    </w:tblStylePr>
    <w:tblStylePr w:type="lastCol">
      <w:rPr>
        <w:color w:val="FFFFFF"/>
      </w:rPr>
      <w:tblPr>
        <w:tblLayout w:type="fixed"/>
      </w:tblPr>
      <w:tcPr>
        <w:shd w:val="clear" w:color="auto" w:fill="943634"/>
      </w:tcPr>
    </w:tblStylePr>
    <w:tblStylePr w:type="band1Vert">
      <w:tblPr>
        <w:tblLayout w:type="fixed"/>
      </w:tblPr>
      <w:tcPr>
        <w:shd w:val="clear" w:color="auto" w:fill="DFA7A6"/>
      </w:tcPr>
    </w:tblStylePr>
    <w:tblStylePr w:type="band1Horz">
      <w:tblPr>
        <w:tblLayout w:type="fixed"/>
      </w:tblPr>
      <w:tcPr>
        <w:shd w:val="clear" w:color="auto" w:fill="DFA7A6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>
        <w:tblLayout w:type="fixed"/>
      </w:tblPr>
      <w:tcPr>
        <w:shd w:val="clear" w:color="auto" w:fill="D6E3BC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D6E3BC"/>
      </w:tcPr>
    </w:tblStylePr>
    <w:tblStylePr w:type="firstCol">
      <w:rPr>
        <w:color w:val="FFFFFF"/>
      </w:rPr>
      <w:tblPr>
        <w:tblLayout w:type="fixed"/>
      </w:tblPr>
      <w:tcPr>
        <w:shd w:val="clear" w:color="auto" w:fill="76923C"/>
      </w:tcPr>
    </w:tblStylePr>
    <w:tblStylePr w:type="lastCol">
      <w:rPr>
        <w:color w:val="FFFFFF"/>
      </w:rPr>
      <w:tblPr>
        <w:tblLayout w:type="fixed"/>
      </w:tblPr>
      <w:tcPr>
        <w:shd w:val="clear" w:color="auto" w:fill="76923C"/>
      </w:tcPr>
    </w:tblStylePr>
    <w:tblStylePr w:type="band1Vert">
      <w:tblPr>
        <w:tblLayout w:type="fixed"/>
      </w:tblPr>
      <w:tcPr>
        <w:shd w:val="clear" w:color="auto" w:fill="CDDDAC"/>
      </w:tcPr>
    </w:tblStylePr>
    <w:tblStylePr w:type="band1Horz">
      <w:tblPr>
        <w:tblLayout w:type="fixed"/>
      </w:tblPr>
      <w:tcPr>
        <w:shd w:val="clear" w:color="auto" w:fill="CDDDAC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>
        <w:tblLayout w:type="fixed"/>
      </w:tblPr>
      <w:tcPr>
        <w:shd w:val="clear" w:color="auto" w:fill="CCC0D9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CCC0D9"/>
      </w:tcPr>
    </w:tblStylePr>
    <w:tblStylePr w:type="firstCol">
      <w:rPr>
        <w:color w:val="FFFFFF"/>
      </w:rPr>
      <w:tblPr>
        <w:tblLayout w:type="fixed"/>
      </w:tblPr>
      <w:tcPr>
        <w:shd w:val="clear" w:color="auto" w:fill="5F497A"/>
      </w:tcPr>
    </w:tblStylePr>
    <w:tblStylePr w:type="lastCol">
      <w:rPr>
        <w:color w:val="FFFFFF"/>
      </w:rPr>
      <w:tblPr>
        <w:tblLayout w:type="fixed"/>
      </w:tblPr>
      <w:tcPr>
        <w:shd w:val="clear" w:color="auto" w:fill="5F497A"/>
      </w:tcPr>
    </w:tblStylePr>
    <w:tblStylePr w:type="band1Vert">
      <w:tblPr>
        <w:tblLayout w:type="fixed"/>
      </w:tblPr>
      <w:tcPr>
        <w:shd w:val="clear" w:color="auto" w:fill="BFB1D0"/>
      </w:tcPr>
    </w:tblStylePr>
    <w:tblStylePr w:type="band1Horz">
      <w:tblPr>
        <w:tblLayout w:type="fixed"/>
      </w:tblPr>
      <w:tcPr>
        <w:shd w:val="clear" w:color="auto" w:fill="BFB1D0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>
        <w:tblLayout w:type="fixed"/>
      </w:tblPr>
      <w:tcPr>
        <w:shd w:val="clear" w:color="auto" w:fill="B6DDE8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B6DDE8"/>
      </w:tcPr>
    </w:tblStylePr>
    <w:tblStylePr w:type="firstCol">
      <w:rPr>
        <w:color w:val="FFFFFF"/>
      </w:rPr>
      <w:tblPr>
        <w:tblLayout w:type="fixed"/>
      </w:tblPr>
      <w:tcPr>
        <w:shd w:val="clear" w:color="auto" w:fill="31849B"/>
      </w:tcPr>
    </w:tblStylePr>
    <w:tblStylePr w:type="lastCol">
      <w:rPr>
        <w:color w:val="FFFFFF"/>
      </w:rPr>
      <w:tblPr>
        <w:tblLayout w:type="fixed"/>
      </w:tblPr>
      <w:tcPr>
        <w:shd w:val="clear" w:color="auto" w:fill="31849B"/>
      </w:tcPr>
    </w:tblStylePr>
    <w:tblStylePr w:type="band1Vert">
      <w:tblPr>
        <w:tblLayout w:type="fixed"/>
      </w:tblPr>
      <w:tcPr>
        <w:shd w:val="clear" w:color="auto" w:fill="A5D5E2"/>
      </w:tcPr>
    </w:tblStylePr>
    <w:tblStylePr w:type="band1Horz">
      <w:tblPr>
        <w:tblLayout w:type="fixed"/>
      </w:tblPr>
      <w:tcPr>
        <w:shd w:val="clear" w:color="auto" w:fill="A5D5E2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>
        <w:tblLayout w:type="fixed"/>
      </w:tblPr>
      <w:tcPr>
        <w:shd w:val="clear" w:color="auto" w:fill="FBD4B4"/>
      </w:tcPr>
    </w:tblStylePr>
    <w:tblStylePr w:type="lastRow">
      <w:rPr>
        <w:b/>
        <w:bCs/>
        <w:color w:val="000000"/>
      </w:rPr>
      <w:tblPr>
        <w:tblLayout w:type="fixed"/>
      </w:tblPr>
      <w:tcPr>
        <w:shd w:val="clear" w:color="auto" w:fill="FBD4B4"/>
      </w:tcPr>
    </w:tblStylePr>
    <w:tblStylePr w:type="firstCol">
      <w:rPr>
        <w:color w:val="FFFFFF"/>
      </w:rPr>
      <w:tblPr>
        <w:tblLayout w:type="fixed"/>
      </w:tblPr>
      <w:tcPr>
        <w:shd w:val="clear" w:color="auto" w:fill="E36C0A"/>
      </w:tcPr>
    </w:tblStylePr>
    <w:tblStylePr w:type="lastCol">
      <w:rPr>
        <w:color w:val="FFFFFF"/>
      </w:rPr>
      <w:tblPr>
        <w:tblLayout w:type="fixed"/>
      </w:tblPr>
      <w:tcPr>
        <w:shd w:val="clear" w:color="auto" w:fill="E36C0A"/>
      </w:tcPr>
    </w:tblStylePr>
    <w:tblStylePr w:type="band1Vert">
      <w:tblPr>
        <w:tblLayout w:type="fixed"/>
      </w:tblPr>
      <w:tcPr>
        <w:shd w:val="clear" w:color="auto" w:fill="FBCAA2"/>
      </w:tcPr>
    </w:tblStylePr>
    <w:tblStylePr w:type="band1Horz">
      <w:tblPr>
        <w:tblLayout w:type="fixed"/>
      </w:tblPr>
      <w:tcPr>
        <w:shd w:val="clear" w:color="auto" w:fill="FBCAA2"/>
      </w:tcPr>
    </w:tblStylePr>
  </w:style>
  <w:style w:type="character" w:customStyle="1" w:styleId="135">
    <w:name w:val="Header Char_eda2cc56-5756-436b-9832-31c944a0cabd"/>
    <w:basedOn w:val="32"/>
    <w:link w:val="25"/>
    <w:uiPriority w:val="99"/>
  </w:style>
  <w:style w:type="character" w:customStyle="1" w:styleId="136">
    <w:name w:val="Footer Char_31ceba9a-3ad7-464c-b0a4-c937c962a6c3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32"/>
    <w:link w:val="2"/>
    <w:uiPriority w:val="9"/>
    <w:rPr>
      <w:rFonts w:ascii="Calibri" w:hAnsi="Calibri" w:eastAsia="ＭＳ ゴシック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32"/>
    <w:link w:val="3"/>
    <w:uiPriority w:val="9"/>
    <w:rPr>
      <w:rFonts w:ascii="Calibri" w:hAnsi="Calibri" w:eastAsia="ＭＳ ゴシック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32"/>
    <w:link w:val="4"/>
    <w:uiPriority w:val="9"/>
    <w:rPr>
      <w:rFonts w:ascii="Calibri" w:hAnsi="Calibri" w:eastAsia="ＭＳ ゴシック" w:cs="宋体"/>
      <w:b/>
      <w:bCs/>
      <w:color w:val="4F81BD"/>
    </w:rPr>
  </w:style>
  <w:style w:type="character" w:customStyle="1" w:styleId="141">
    <w:name w:val="Title Char_1a119449-f154-4e04-b927-12b2f8a14d76"/>
    <w:basedOn w:val="32"/>
    <w:link w:val="31"/>
    <w:uiPriority w:val="10"/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32"/>
    <w:link w:val="5"/>
    <w:uiPriority w:val="9"/>
    <w:rPr>
      <w:rFonts w:ascii="Calibri" w:hAnsi="Calibri" w:eastAsia="ＭＳ ゴシック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32"/>
    <w:link w:val="6"/>
    <w:uiPriority w:val="9"/>
    <w:rPr>
      <w:rFonts w:ascii="Calibri" w:hAnsi="Calibri" w:eastAsia="ＭＳ ゴシック" w:cs="宋体"/>
      <w:color w:val="243F60"/>
    </w:rPr>
  </w:style>
  <w:style w:type="character" w:customStyle="1" w:styleId="152">
    <w:name w:val="Heading 6 Char_ab4e2828-b68e-4e07-af56-aa7dd890804c"/>
    <w:basedOn w:val="32"/>
    <w:link w:val="7"/>
    <w:uiPriority w:val="9"/>
    <w:rPr>
      <w:rFonts w:ascii="Calibri" w:hAnsi="Calibri" w:eastAsia="ＭＳ ゴシック" w:cs="宋体"/>
      <w:i/>
      <w:iCs/>
      <w:color w:val="243F60"/>
    </w:rPr>
  </w:style>
  <w:style w:type="character" w:customStyle="1" w:styleId="153">
    <w:name w:val="Heading 7 Char_4d2e0370-54d7-4370-8805-e7ca740c4327"/>
    <w:basedOn w:val="32"/>
    <w:link w:val="8"/>
    <w:uiPriority w:val="9"/>
    <w:rPr>
      <w:rFonts w:ascii="Calibri" w:hAnsi="Calibri" w:eastAsia="ＭＳ ゴシック" w:cs="宋体"/>
      <w:i/>
      <w:iCs/>
      <w:color w:val="404040"/>
    </w:rPr>
  </w:style>
  <w:style w:type="character" w:customStyle="1" w:styleId="154">
    <w:name w:val="Heading 8 Char_08c7d04e-5901-4dc2-ad35-38368f3aa4e3"/>
    <w:basedOn w:val="32"/>
    <w:link w:val="9"/>
    <w:uiPriority w:val="9"/>
    <w:rPr>
      <w:rFonts w:ascii="Calibri" w:hAnsi="Calibri" w:eastAsia="ＭＳ ゴシック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32"/>
    <w:link w:val="10"/>
    <w:uiPriority w:val="9"/>
    <w:rPr>
      <w:rFonts w:ascii="Calibri" w:hAnsi="Calibri" w:eastAsia="ＭＳ ゴシック" w:cs="宋体"/>
      <w:i/>
      <w:iCs/>
      <w:color w:val="404040"/>
      <w:sz w:val="20"/>
      <w:szCs w:val="20"/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32"/>
    <w:qFormat/>
    <w:uiPriority w:val="19"/>
    <w:rPr>
      <w:i/>
      <w:iCs/>
      <w:color w:val="808080"/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1061</Characters>
  <Lines>0</Lines>
  <Paragraphs>17</Paragraphs>
  <ScaleCrop>false</ScaleCrop>
  <LinksUpToDate>false</LinksUpToDate>
  <CharactersWithSpaces>1085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2026-07-04T14:12:01Z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648c5718148c4863ae3ad5abfea9876e</vt:lpwstr>
  </property>
  <property fmtid="{D5CDD505-2E9C-101B-9397-08002B2CF9AE}" pid="3" name="KSOProductBuildVer">
    <vt:lpwstr>2052-26.6.2</vt:lpwstr>
  </property>
</Properties>
</file>